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Monoferric – Patient </w:t>
      </w:r>
      <w:r>
        <w:rPr>
          <w:spacing w:val="-2"/>
        </w:rPr>
        <w:t>Information</w:t>
      </w:r>
    </w:p>
    <w:p>
      <w:pPr>
        <w:pStyle w:val="Heading2"/>
        <w:spacing w:before="338"/>
      </w:pPr>
      <w:r>
        <w:rPr/>
        <w:t>What is this </w:t>
      </w:r>
      <w:r>
        <w:rPr>
          <w:spacing w:val="-2"/>
        </w:rPr>
        <w:t>medication?</w:t>
      </w:r>
    </w:p>
    <w:p>
      <w:pPr>
        <w:pStyle w:val="BodyText"/>
        <w:spacing w:before="122"/>
      </w:pPr>
      <w:r>
        <w:rPr/>
        <w:t>Monoferric® (ferric derisomaltose) is an intravenous iron medication for iron deficiency </w:t>
      </w:r>
      <w:r>
        <w:rPr>
          <w:spacing w:val="-2"/>
        </w:rPr>
        <w:t>anemia.</w:t>
      </w:r>
    </w:p>
    <w:p>
      <w:pPr>
        <w:pStyle w:val="Heading2"/>
      </w:pPr>
      <w:r>
        <w:rPr/>
        <w:t>Why am I receiving this </w:t>
      </w:r>
      <w:r>
        <w:rPr>
          <w:spacing w:val="-2"/>
        </w:rPr>
        <w:t>treatment?</w:t>
      </w:r>
    </w:p>
    <w:p>
      <w:pPr>
        <w:pStyle w:val="BodyText"/>
      </w:pPr>
      <w:r>
        <w:rPr/>
        <w:t>It is used when oral iron is ineffective or not </w:t>
      </w:r>
      <w:r>
        <w:rPr>
          <w:spacing w:val="-2"/>
        </w:rPr>
        <w:t>tolerated.</w:t>
      </w:r>
    </w:p>
    <w:p>
      <w:pPr>
        <w:pStyle w:val="Heading2"/>
      </w:pPr>
      <w:r>
        <w:rPr/>
        <w:t>How is it </w:t>
      </w:r>
      <w:r>
        <w:rPr>
          <w:spacing w:val="-2"/>
        </w:rPr>
        <w:t>given?</w:t>
      </w:r>
    </w:p>
    <w:p>
      <w:pPr>
        <w:pStyle w:val="BodyText"/>
      </w:pPr>
      <w:r>
        <w:rPr/>
        <w:t>Monoferric® is often given as a single infusion over 20–60 </w:t>
      </w:r>
      <w:r>
        <w:rPr>
          <w:spacing w:val="-2"/>
        </w:rPr>
        <w:t>minutes.</w:t>
      </w:r>
    </w:p>
    <w:p>
      <w:pPr>
        <w:pStyle w:val="Heading2"/>
      </w:pPr>
      <w:r>
        <w:rPr/>
        <w:t>Possible side </w:t>
      </w:r>
      <w:r>
        <w:rPr>
          <w:spacing w:val="-2"/>
        </w:rPr>
        <w:t>effects</w:t>
      </w:r>
    </w:p>
    <w:p>
      <w:pPr>
        <w:pStyle w:val="BodyText"/>
      </w:pPr>
      <w:r>
        <w:rPr/>
        <w:t>Side effects may include headache, nausea, dizziness, or infusion </w:t>
      </w:r>
      <w:r>
        <w:rPr>
          <w:spacing w:val="-2"/>
        </w:rPr>
        <w:t>reactions.</w:t>
      </w:r>
    </w:p>
    <w:p>
      <w:pPr>
        <w:pStyle w:val="Heading2"/>
      </w:pPr>
      <w:r>
        <w:rPr/>
        <w:t>Pregnancy and </w:t>
      </w:r>
      <w:r>
        <w:rPr>
          <w:spacing w:val="-2"/>
        </w:rPr>
        <w:t>breastfeeding</w:t>
      </w:r>
    </w:p>
    <w:p>
      <w:pPr>
        <w:pStyle w:val="BodyText"/>
        <w:spacing w:line="249" w:lineRule="auto"/>
        <w:ind w:right="14"/>
      </w:pPr>
      <w:r>
        <w:rPr/>
        <w:t>Intravenous iron preparations including Ferinject® (ferric carboxymaltose), Monoferric® (ferric derisomaltose), and iron sucrose may be used during pregnancy when clinically indicated. IV iron is generally avoided during the first trimester unless the benefits clearly outweigh the risks. These medications are commonly used in the second and third trimesters when oral iron is ineffective or not tolerated.</w:t>
      </w:r>
      <w:r>
        <w:rPr>
          <w:spacing w:val="-2"/>
        </w:rPr>
        <w:t> </w:t>
      </w:r>
      <w:r>
        <w:rPr/>
        <w:t>Small</w:t>
      </w:r>
      <w:r>
        <w:rPr>
          <w:spacing w:val="-2"/>
        </w:rPr>
        <w:t> </w:t>
      </w:r>
      <w:r>
        <w:rPr/>
        <w:t>amounts</w:t>
      </w:r>
      <w:r>
        <w:rPr>
          <w:spacing w:val="-2"/>
        </w:rPr>
        <w:t> </w:t>
      </w:r>
      <w:r>
        <w:rPr/>
        <w:t>of</w:t>
      </w:r>
      <w:r>
        <w:rPr>
          <w:spacing w:val="-2"/>
        </w:rPr>
        <w:t> </w:t>
      </w:r>
      <w:r>
        <w:rPr/>
        <w:t>iron</w:t>
      </w:r>
      <w:r>
        <w:rPr>
          <w:spacing w:val="-2"/>
        </w:rPr>
        <w:t> </w:t>
      </w:r>
      <w:r>
        <w:rPr/>
        <w:t>may</w:t>
      </w:r>
      <w:r>
        <w:rPr>
          <w:spacing w:val="-2"/>
        </w:rPr>
        <w:t> </w:t>
      </w:r>
      <w:r>
        <w:rPr/>
        <w:t>pass</w:t>
      </w:r>
      <w:r>
        <w:rPr>
          <w:spacing w:val="-2"/>
        </w:rPr>
        <w:t> </w:t>
      </w:r>
      <w:r>
        <w:rPr/>
        <w:t>into</w:t>
      </w:r>
      <w:r>
        <w:rPr>
          <w:spacing w:val="-2"/>
        </w:rPr>
        <w:t> </w:t>
      </w:r>
      <w:r>
        <w:rPr/>
        <w:t>breast</w:t>
      </w:r>
      <w:r>
        <w:rPr>
          <w:spacing w:val="-2"/>
        </w:rPr>
        <w:t> </w:t>
      </w:r>
      <w:r>
        <w:rPr/>
        <w:t>milk;</w:t>
      </w:r>
      <w:r>
        <w:rPr>
          <w:spacing w:val="-2"/>
        </w:rPr>
        <w:t> </w:t>
      </w:r>
      <w:r>
        <w:rPr/>
        <w:t>however,</w:t>
      </w:r>
      <w:r>
        <w:rPr>
          <w:spacing w:val="-2"/>
        </w:rPr>
        <w:t> </w:t>
      </w:r>
      <w:r>
        <w:rPr/>
        <w:t>IV</w:t>
      </w:r>
      <w:r>
        <w:rPr>
          <w:spacing w:val="-2"/>
        </w:rPr>
        <w:t> </w:t>
      </w:r>
      <w:r>
        <w:rPr/>
        <w:t>iron</w:t>
      </w:r>
      <w:r>
        <w:rPr>
          <w:spacing w:val="-2"/>
        </w:rPr>
        <w:t> </w:t>
      </w:r>
      <w:r>
        <w:rPr/>
        <w:t>is</w:t>
      </w:r>
      <w:r>
        <w:rPr>
          <w:spacing w:val="-2"/>
        </w:rPr>
        <w:t> </w:t>
      </w:r>
      <w:r>
        <w:rPr/>
        <w:t>considered</w:t>
      </w:r>
      <w:r>
        <w:rPr>
          <w:spacing w:val="-2"/>
        </w:rPr>
        <w:t> </w:t>
      </w:r>
      <w:r>
        <w:rPr/>
        <w:t>compatible</w:t>
      </w:r>
      <w:r>
        <w:rPr>
          <w:spacing w:val="-2"/>
        </w:rPr>
        <w:t> </w:t>
      </w:r>
      <w:r>
        <w:rPr/>
        <w:t>with </w:t>
      </w:r>
      <w:r>
        <w:rPr>
          <w:spacing w:val="-2"/>
        </w:rPr>
        <w:t>breastfeeding.</w:t>
      </w:r>
    </w:p>
    <w:p>
      <w:pPr>
        <w:pStyle w:val="Heading2"/>
        <w:spacing w:before="208"/>
      </w:pPr>
      <w:r>
        <w:rPr/>
        <w:t>After the </w:t>
      </w:r>
      <w:r>
        <w:rPr>
          <w:spacing w:val="-2"/>
        </w:rPr>
        <w:t>infusion</w:t>
      </w:r>
    </w:p>
    <w:p>
      <w:pPr>
        <w:pStyle w:val="BodyText"/>
      </w:pPr>
      <w:r>
        <w:rPr/>
        <w:t>Most patients can return to normal activities shortly after </w:t>
      </w:r>
      <w:r>
        <w:rPr>
          <w:spacing w:val="-2"/>
        </w:rPr>
        <w:t>infusion.</w:t>
      </w:r>
    </w:p>
    <w:p>
      <w:pPr>
        <w:pStyle w:val="Heading2"/>
      </w:pPr>
      <w:r>
        <w:rPr/>
        <w:t>When to seek medical </w:t>
      </w:r>
      <w:r>
        <w:rPr>
          <w:spacing w:val="-2"/>
        </w:rPr>
        <w:t>attention</w:t>
      </w:r>
    </w:p>
    <w:p>
      <w:pPr>
        <w:pStyle w:val="BodyText"/>
      </w:pPr>
      <w:r>
        <w:rPr/>
        <w:t>Seek urgent care for shortness of breath, chest pain, or severe allergic </w:t>
      </w:r>
      <w:r>
        <w:rPr>
          <w:spacing w:val="-2"/>
        </w:rPr>
        <w:t>symptoms.</w:t>
      </w:r>
    </w:p>
    <w:sectPr>
      <w:type w:val="continuous"/>
      <w:pgSz w:w="11910" w:h="16840"/>
      <w:pgMar w:top="1240" w:bottom="280" w:left="1133"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21"/>
      <w:ind w:left="120"/>
    </w:pPr>
    <w:rPr>
      <w:rFonts w:ascii="Arial" w:hAnsi="Arial" w:eastAsia="Arial" w:cs="Arial"/>
      <w:sz w:val="20"/>
      <w:szCs w:val="20"/>
      <w:lang w:val="en-US" w:eastAsia="en-US" w:bidi="ar-SA"/>
    </w:rPr>
  </w:style>
  <w:style w:styleId="Heading1" w:type="paragraph">
    <w:name w:val="Heading 1"/>
    <w:basedOn w:val="Normal"/>
    <w:uiPriority w:val="1"/>
    <w:qFormat/>
    <w:pPr>
      <w:spacing w:before="269"/>
      <w:ind w:left="141"/>
      <w:jc w:val="center"/>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spacing w:before="213"/>
      <w:ind w:left="120"/>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(anonymous)</dc:title>
  <dcterms:created xsi:type="dcterms:W3CDTF">2026-01-09T07:36:00Z</dcterms:created>
  <dcterms:modified xsi:type="dcterms:W3CDTF">2026-01-09T07:36:00Z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(unspecified)</vt:lpwstr>
  </property>
  <property fmtid="{D5CDD505-2E9C-101B-9397-08002B2CF9AE}" pid="4" name="LastSaved">
    <vt:filetime>2026-01-09T00:00:00Z</vt:filetime>
  </property>
  <property fmtid="{D5CDD505-2E9C-101B-9397-08002B2CF9AE}" pid="5" name="Producer">
    <vt:lpwstr>ReportLab PDF Library - www.reportlab.com</vt:lpwstr>
  </property>
</Properties>
</file>